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8F82895"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Pr="00CE0424">
        <w:tab/>
      </w:r>
      <w:r w:rsidR="00091557" w:rsidRPr="00CE0424">
        <w:rPr>
          <w:sz w:val="32"/>
          <w:szCs w:val="32"/>
        </w:rPr>
        <w:t>R</w:t>
      </w:r>
      <w:r w:rsidR="00A447CE">
        <w:rPr>
          <w:sz w:val="32"/>
          <w:szCs w:val="32"/>
        </w:rPr>
        <w:t>4</w:t>
      </w:r>
      <w:r w:rsidR="00091557" w:rsidRPr="00CE0424">
        <w:rPr>
          <w:sz w:val="32"/>
          <w:szCs w:val="32"/>
        </w:rPr>
        <w:t>-</w:t>
      </w:r>
      <w:r w:rsidR="00911014">
        <w:rPr>
          <w:sz w:val="32"/>
          <w:szCs w:val="32"/>
        </w:rPr>
        <w:t>2216402</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7C2BF052"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EE346E">
        <w:rPr>
          <w:sz w:val="22"/>
          <w:lang w:val="sv-FI"/>
        </w:rPr>
        <w:t>6.12.2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FD6E74B" w:rsidR="00E90E49" w:rsidRPr="00CE0424" w:rsidRDefault="003D3C45" w:rsidP="00311702">
      <w:pPr>
        <w:pStyle w:val="3GPPHeader"/>
        <w:rPr>
          <w:sz w:val="22"/>
        </w:rPr>
      </w:pPr>
      <w:r>
        <w:rPr>
          <w:sz w:val="22"/>
        </w:rPr>
        <w:t>Title:</w:t>
      </w:r>
      <w:r w:rsidR="00E90E49" w:rsidRPr="00CE0424">
        <w:rPr>
          <w:sz w:val="22"/>
        </w:rPr>
        <w:tab/>
      </w:r>
      <w:r w:rsidR="00EE346E" w:rsidRPr="00EE346E">
        <w:rPr>
          <w:sz w:val="22"/>
        </w:rPr>
        <w:t>UE RF requir</w:t>
      </w:r>
      <w:r w:rsidR="00EE346E">
        <w:rPr>
          <w:sz w:val="22"/>
        </w:rPr>
        <w:t>e</w:t>
      </w:r>
      <w:r w:rsidR="00EE346E" w:rsidRPr="00EE346E">
        <w:rPr>
          <w:sz w:val="22"/>
        </w:rPr>
        <w:t>ments or HST FR2 CA</w:t>
      </w:r>
    </w:p>
    <w:p w14:paraId="025260C1" w14:textId="5267B86A" w:rsidR="00E90E49" w:rsidRPr="00CE0424" w:rsidRDefault="00E90E49" w:rsidP="00D546FF">
      <w:pPr>
        <w:pStyle w:val="3GPPHeader"/>
        <w:rPr>
          <w:sz w:val="22"/>
        </w:rPr>
      </w:pPr>
      <w:r w:rsidRPr="00CE0424">
        <w:rPr>
          <w:sz w:val="22"/>
        </w:rPr>
        <w:t>Document for:</w:t>
      </w:r>
      <w:r w:rsidRPr="00CE0424">
        <w:rPr>
          <w:sz w:val="22"/>
        </w:rPr>
        <w:tab/>
      </w:r>
      <w:r w:rsidR="004A669E">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5A14A400" w:rsidR="00477768" w:rsidRDefault="008F0DD6" w:rsidP="00CE0424">
      <w:pPr>
        <w:pStyle w:val="BodyText"/>
      </w:pPr>
      <w:r>
        <w:t>The FR2 HST WI agreed at RAN#</w:t>
      </w:r>
      <w:r w:rsidR="007B0B62">
        <w:t>95-e includes the following objective on introduction of CA:</w:t>
      </w:r>
    </w:p>
    <w:p w14:paraId="64E48B95" w14:textId="2ECBCF70" w:rsidR="007B0B62" w:rsidRDefault="007B0B62" w:rsidP="00CE0424">
      <w:pPr>
        <w:pStyle w:val="BodyText"/>
      </w:pPr>
    </w:p>
    <w:p w14:paraId="0B374AE8" w14:textId="77777777" w:rsidR="007B0B62" w:rsidRPr="00D733AA" w:rsidRDefault="007B0B62" w:rsidP="007B0B62">
      <w:pPr>
        <w:numPr>
          <w:ilvl w:val="0"/>
          <w:numId w:val="23"/>
        </w:numPr>
        <w:overflowPunct w:val="0"/>
        <w:autoSpaceDE w:val="0"/>
        <w:autoSpaceDN w:val="0"/>
        <w:adjustRightInd w:val="0"/>
        <w:spacing w:after="180" w:line="240" w:lineRule="auto"/>
        <w:textAlignment w:val="baseline"/>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5BE1BC46" w14:textId="16FEB33A" w:rsidR="007B0B62" w:rsidRPr="00CE0424" w:rsidRDefault="007B0B62" w:rsidP="00CE0424">
      <w:pPr>
        <w:pStyle w:val="BodyText"/>
      </w:pPr>
      <w:r>
        <w:t>The previous</w:t>
      </w:r>
      <w:r w:rsidR="00F24BC8">
        <w:t xml:space="preserve"> Rel-17 FR2 HST WI created a new UE power class, PC6. </w:t>
      </w:r>
      <w:r w:rsidR="00AC2983">
        <w:t xml:space="preserve">PC6 has the same maximum output power requirements as PC3, but differing spherical coverage and minimum EIRP requirements, since the intention is to cover the forwards and backwards directions along the track but not the full sphere. </w:t>
      </w:r>
      <w:r w:rsidR="00F24BC8">
        <w:t>This document consi</w:t>
      </w:r>
      <w:r w:rsidR="0054031B">
        <w:t xml:space="preserve">ders the work that is needed on top of the existing PC6 UE specification </w:t>
      </w:r>
      <w:proofErr w:type="gramStart"/>
      <w:r w:rsidR="0054031B">
        <w:t>in order to</w:t>
      </w:r>
      <w:proofErr w:type="gramEnd"/>
      <w:r w:rsidR="0054031B">
        <w:t xml:space="preserve"> support intra-band CA.</w:t>
      </w:r>
    </w:p>
    <w:p w14:paraId="60123794" w14:textId="7DD40D9E" w:rsidR="004000E8" w:rsidRDefault="00230D18" w:rsidP="00CE0424">
      <w:pPr>
        <w:pStyle w:val="Heading1"/>
      </w:pPr>
      <w:bookmarkStart w:id="0" w:name="_Ref178064866"/>
      <w:r>
        <w:t>2</w:t>
      </w:r>
      <w:r>
        <w:tab/>
      </w:r>
      <w:r w:rsidR="004000E8" w:rsidRPr="00CE0424">
        <w:t>Discussion</w:t>
      </w:r>
      <w:bookmarkEnd w:id="0"/>
    </w:p>
    <w:p w14:paraId="4B1B5345" w14:textId="6DA17F75" w:rsidR="0054031B" w:rsidRDefault="0054031B" w:rsidP="0054031B">
      <w:pPr>
        <w:rPr>
          <w:lang w:val="en-GB" w:eastAsia="ja-JP"/>
        </w:rPr>
      </w:pPr>
      <w:r>
        <w:rPr>
          <w:lang w:val="en-GB" w:eastAsia="ja-JP"/>
        </w:rPr>
        <w:t>The impact o</w:t>
      </w:r>
      <w:r w:rsidR="00350165">
        <w:rPr>
          <w:lang w:val="en-GB" w:eastAsia="ja-JP"/>
        </w:rPr>
        <w:t>f</w:t>
      </w:r>
      <w:r>
        <w:rPr>
          <w:lang w:val="en-GB" w:eastAsia="ja-JP"/>
        </w:rPr>
        <w:t xml:space="preserve"> supporting </w:t>
      </w:r>
      <w:r w:rsidR="00960EE5">
        <w:rPr>
          <w:lang w:val="en-GB" w:eastAsia="ja-JP"/>
        </w:rPr>
        <w:t>intra-band CA for PC6 is considered in terms of the individual UE requirements.</w:t>
      </w:r>
    </w:p>
    <w:p w14:paraId="34CD92DD" w14:textId="552AD0E9" w:rsidR="00960EE5" w:rsidRDefault="00E25F5F" w:rsidP="0054031B">
      <w:pPr>
        <w:rPr>
          <w:u w:val="single"/>
          <w:lang w:val="en-GB" w:eastAsia="ja-JP"/>
        </w:rPr>
      </w:pPr>
      <w:r>
        <w:rPr>
          <w:u w:val="single"/>
          <w:lang w:val="en-GB" w:eastAsia="ja-JP"/>
        </w:rPr>
        <w:t>Output power</w:t>
      </w:r>
    </w:p>
    <w:p w14:paraId="669D4C2A" w14:textId="14BDD938" w:rsidR="00E25F5F" w:rsidRDefault="00E25F5F" w:rsidP="0054031B">
      <w:pPr>
        <w:rPr>
          <w:lang w:val="en-GB" w:eastAsia="ja-JP"/>
        </w:rPr>
      </w:pPr>
      <w:r>
        <w:rPr>
          <w:lang w:val="en-GB" w:eastAsia="ja-JP"/>
        </w:rPr>
        <w:t xml:space="preserve">For other power classes, the output power requirement for intra-band CA is the same as for single carrier. We propose that the same is assumed for </w:t>
      </w:r>
      <w:proofErr w:type="gramStart"/>
      <w:r>
        <w:rPr>
          <w:lang w:val="en-GB" w:eastAsia="ja-JP"/>
        </w:rPr>
        <w:t>PC6;</w:t>
      </w:r>
      <w:proofErr w:type="gramEnd"/>
      <w:r>
        <w:rPr>
          <w:lang w:val="en-GB" w:eastAsia="ja-JP"/>
        </w:rPr>
        <w:t xml:space="preserve"> i.e. no change in the output power requirement.</w:t>
      </w:r>
    </w:p>
    <w:p w14:paraId="5242F0A4" w14:textId="5B306BE5" w:rsidR="00965070" w:rsidRDefault="00965070" w:rsidP="00965070">
      <w:pPr>
        <w:pStyle w:val="Proposal"/>
        <w:rPr>
          <w:lang w:val="en-GB"/>
        </w:rPr>
      </w:pPr>
      <w:bookmarkStart w:id="1" w:name="_Toc113713807"/>
      <w:r>
        <w:rPr>
          <w:lang w:val="en-GB"/>
        </w:rPr>
        <w:t>The output power requirement for PC6 for intra-band CA is the same as for single carrier.</w:t>
      </w:r>
      <w:bookmarkEnd w:id="1"/>
    </w:p>
    <w:p w14:paraId="6BA80DB3" w14:textId="77777777" w:rsidR="00965070" w:rsidRDefault="00965070" w:rsidP="00965070">
      <w:pPr>
        <w:pStyle w:val="Proposal"/>
        <w:numPr>
          <w:ilvl w:val="0"/>
          <w:numId w:val="0"/>
        </w:numPr>
        <w:ind w:left="1701"/>
        <w:rPr>
          <w:lang w:val="en-GB"/>
        </w:rPr>
      </w:pPr>
    </w:p>
    <w:p w14:paraId="3932ADAF" w14:textId="60085CFD" w:rsidR="006354CB" w:rsidRDefault="001E50E5" w:rsidP="0054031B">
      <w:pPr>
        <w:rPr>
          <w:lang w:val="en-GB" w:eastAsia="ja-JP"/>
        </w:rPr>
      </w:pPr>
      <w:r>
        <w:rPr>
          <w:lang w:val="en-GB" w:eastAsia="ja-JP"/>
        </w:rPr>
        <w:t>MPR</w:t>
      </w:r>
      <w:r w:rsidR="006F0E86">
        <w:rPr>
          <w:lang w:val="en-GB" w:eastAsia="ja-JP"/>
        </w:rPr>
        <w:t xml:space="preserve"> for intra-band CA is defined to be the same for PC3, 4, 5 as they all have the same maximum output power requirements. </w:t>
      </w:r>
      <w:r w:rsidR="006354CB">
        <w:rPr>
          <w:lang w:val="en-GB" w:eastAsia="ja-JP"/>
        </w:rPr>
        <w:t xml:space="preserve">For PC6, in principle a train mounted UE could be built with different PAs and/or different efficiency and the MPR requirements could be revised. However, to enable use of existing chipsets where feasible it is probably better to adopt the same </w:t>
      </w:r>
      <w:proofErr w:type="gramStart"/>
      <w:r w:rsidR="006354CB">
        <w:rPr>
          <w:lang w:val="en-GB" w:eastAsia="ja-JP"/>
        </w:rPr>
        <w:t>approach;</w:t>
      </w:r>
      <w:proofErr w:type="gramEnd"/>
      <w:r w:rsidR="006354CB">
        <w:rPr>
          <w:lang w:val="en-GB" w:eastAsia="ja-JP"/>
        </w:rPr>
        <w:t xml:space="preserve"> i.e. use the same requirements for MPR as PC3.</w:t>
      </w:r>
      <w:r w:rsidR="003964C5">
        <w:rPr>
          <w:lang w:val="en-GB" w:eastAsia="ja-JP"/>
        </w:rPr>
        <w:t xml:space="preserve"> A similar consideration applies for A-MPR.</w:t>
      </w:r>
    </w:p>
    <w:p w14:paraId="3BE432AC" w14:textId="228C44D9" w:rsidR="009904EE" w:rsidRDefault="00965070" w:rsidP="009904EE">
      <w:pPr>
        <w:pStyle w:val="Proposal"/>
        <w:rPr>
          <w:lang w:val="en-GB"/>
        </w:rPr>
      </w:pPr>
      <w:bookmarkStart w:id="2" w:name="_Toc113713808"/>
      <w:r>
        <w:rPr>
          <w:lang w:val="en-GB"/>
        </w:rPr>
        <w:t>MPR and A-MPR requirements for PC6 for CA are the same as those for PC3</w:t>
      </w:r>
      <w:bookmarkEnd w:id="2"/>
    </w:p>
    <w:p w14:paraId="3110E168" w14:textId="2CF708C0" w:rsidR="003964C5" w:rsidRDefault="003964C5" w:rsidP="0054031B">
      <w:pPr>
        <w:rPr>
          <w:lang w:val="en-GB" w:eastAsia="ja-JP"/>
        </w:rPr>
      </w:pPr>
    </w:p>
    <w:p w14:paraId="4CED77B0" w14:textId="65818D15" w:rsidR="00187147" w:rsidRDefault="00187147" w:rsidP="0054031B">
      <w:pPr>
        <w:rPr>
          <w:u w:val="single"/>
          <w:lang w:val="en-GB" w:eastAsia="ja-JP"/>
        </w:rPr>
      </w:pPr>
      <w:r>
        <w:rPr>
          <w:u w:val="single"/>
          <w:lang w:val="en-GB" w:eastAsia="ja-JP"/>
        </w:rPr>
        <w:t>Output power dynamics</w:t>
      </w:r>
    </w:p>
    <w:p w14:paraId="360E4056" w14:textId="34A1DAFA" w:rsidR="00187147" w:rsidRDefault="00187147" w:rsidP="0054031B">
      <w:pPr>
        <w:rPr>
          <w:lang w:val="en-GB" w:eastAsia="ja-JP"/>
        </w:rPr>
      </w:pPr>
      <w:r>
        <w:rPr>
          <w:lang w:val="en-GB" w:eastAsia="ja-JP"/>
        </w:rPr>
        <w:t xml:space="preserve">The minimum output power for </w:t>
      </w:r>
      <w:r w:rsidR="00D1233A">
        <w:rPr>
          <w:lang w:val="en-GB" w:eastAsia="ja-JP"/>
        </w:rPr>
        <w:t>PC6 is the same as for PC5, 6 dBm. For intra-band CA, it would make sen</w:t>
      </w:r>
      <w:r w:rsidR="00570B50">
        <w:rPr>
          <w:lang w:val="en-GB" w:eastAsia="ja-JP"/>
        </w:rPr>
        <w:t>s</w:t>
      </w:r>
      <w:r w:rsidR="00D1233A">
        <w:rPr>
          <w:lang w:val="en-GB" w:eastAsia="ja-JP"/>
        </w:rPr>
        <w:t>e to also set the minimum power to be the same as for PC5</w:t>
      </w:r>
      <w:r w:rsidR="0075687B">
        <w:rPr>
          <w:lang w:val="en-GB" w:eastAsia="ja-JP"/>
        </w:rPr>
        <w:t>.</w:t>
      </w:r>
    </w:p>
    <w:p w14:paraId="1CFA2F8D" w14:textId="1FE4573E" w:rsidR="00965070" w:rsidRDefault="00965070" w:rsidP="00965070">
      <w:pPr>
        <w:pStyle w:val="Proposal"/>
        <w:rPr>
          <w:lang w:val="en-GB"/>
        </w:rPr>
      </w:pPr>
      <w:bookmarkStart w:id="3" w:name="_Toc113713809"/>
      <w:r>
        <w:rPr>
          <w:lang w:val="en-GB"/>
        </w:rPr>
        <w:lastRenderedPageBreak/>
        <w:t>The minimum output power requirement for PC6 is the same as for PC5 for intra-band CA.</w:t>
      </w:r>
      <w:bookmarkEnd w:id="3"/>
    </w:p>
    <w:p w14:paraId="060AE1AA" w14:textId="77777777" w:rsidR="00965070" w:rsidRDefault="00965070" w:rsidP="0054031B">
      <w:pPr>
        <w:rPr>
          <w:lang w:val="en-GB" w:eastAsia="ja-JP"/>
        </w:rPr>
      </w:pPr>
    </w:p>
    <w:p w14:paraId="2703E736" w14:textId="15F395DB" w:rsidR="008E303A" w:rsidRDefault="008E303A" w:rsidP="0054031B">
      <w:pPr>
        <w:rPr>
          <w:lang w:val="en-GB" w:eastAsia="ja-JP"/>
        </w:rPr>
      </w:pPr>
      <w:r>
        <w:rPr>
          <w:lang w:val="en-GB" w:eastAsia="ja-JP"/>
        </w:rPr>
        <w:t>The TDD switching</w:t>
      </w:r>
      <w:r w:rsidR="00012CF1">
        <w:rPr>
          <w:lang w:val="en-GB" w:eastAsia="ja-JP"/>
        </w:rPr>
        <w:t>,</w:t>
      </w:r>
      <w:r>
        <w:rPr>
          <w:lang w:val="en-GB" w:eastAsia="ja-JP"/>
        </w:rPr>
        <w:t xml:space="preserve"> TDD OFF </w:t>
      </w:r>
      <w:r w:rsidR="00012CF1">
        <w:rPr>
          <w:lang w:val="en-GB" w:eastAsia="ja-JP"/>
        </w:rPr>
        <w:t xml:space="preserve">and power control </w:t>
      </w:r>
      <w:r>
        <w:rPr>
          <w:lang w:val="en-GB" w:eastAsia="ja-JP"/>
        </w:rPr>
        <w:t xml:space="preserve">requirements for CA are the same for all </w:t>
      </w:r>
      <w:r w:rsidR="00012CF1">
        <w:rPr>
          <w:lang w:val="en-GB" w:eastAsia="ja-JP"/>
        </w:rPr>
        <w:t>power classes</w:t>
      </w:r>
      <w:r>
        <w:rPr>
          <w:lang w:val="en-GB" w:eastAsia="ja-JP"/>
        </w:rPr>
        <w:t xml:space="preserve"> and it is proposed to adopt the same approach for PC6.</w:t>
      </w:r>
    </w:p>
    <w:p w14:paraId="3CC8AC1B" w14:textId="2A3A4CD0" w:rsidR="00965070" w:rsidRDefault="00965070" w:rsidP="00965070">
      <w:pPr>
        <w:pStyle w:val="Proposal"/>
        <w:rPr>
          <w:lang w:val="en-GB"/>
        </w:rPr>
      </w:pPr>
      <w:bookmarkStart w:id="4" w:name="_Toc113713810"/>
      <w:r>
        <w:rPr>
          <w:lang w:val="en-GB"/>
        </w:rPr>
        <w:t>The TDD OFF, TDD switching and power control requirements for PC6 CA are the same as the CA requirements for other power classes.</w:t>
      </w:r>
      <w:bookmarkEnd w:id="4"/>
    </w:p>
    <w:p w14:paraId="6C983110" w14:textId="259F1AAA" w:rsidR="008E303A" w:rsidRDefault="008E303A" w:rsidP="0054031B">
      <w:pPr>
        <w:rPr>
          <w:lang w:val="en-GB" w:eastAsia="ja-JP"/>
        </w:rPr>
      </w:pPr>
    </w:p>
    <w:p w14:paraId="63CEBC4E" w14:textId="1716ED75" w:rsidR="008E303A" w:rsidRDefault="009A602E" w:rsidP="0054031B">
      <w:pPr>
        <w:rPr>
          <w:u w:val="single"/>
          <w:lang w:val="en-GB" w:eastAsia="ja-JP"/>
        </w:rPr>
      </w:pPr>
      <w:r>
        <w:rPr>
          <w:u w:val="single"/>
          <w:lang w:val="en-GB" w:eastAsia="ja-JP"/>
        </w:rPr>
        <w:t>Transmit signal quality requirements</w:t>
      </w:r>
    </w:p>
    <w:p w14:paraId="65A05F9E" w14:textId="47A59824" w:rsidR="009A602E" w:rsidRDefault="0034178B" w:rsidP="0054031B">
      <w:pPr>
        <w:rPr>
          <w:lang w:val="en-GB" w:eastAsia="ja-JP"/>
        </w:rPr>
      </w:pPr>
      <w:r>
        <w:rPr>
          <w:lang w:val="en-GB" w:eastAsia="ja-JP"/>
        </w:rPr>
        <w:t>The frequency error and EVM requirements are not differentiated between power classes for CA. It is suggested to adopt the same approach for PC6.</w:t>
      </w:r>
    </w:p>
    <w:p w14:paraId="11A55702" w14:textId="1A2EC766" w:rsidR="00965070" w:rsidRDefault="00965070" w:rsidP="00965070">
      <w:pPr>
        <w:pStyle w:val="Proposal"/>
        <w:rPr>
          <w:lang w:val="en-GB"/>
        </w:rPr>
      </w:pPr>
      <w:bookmarkStart w:id="5" w:name="_Toc113713811"/>
      <w:r>
        <w:rPr>
          <w:lang w:val="en-GB"/>
        </w:rPr>
        <w:t>The frequency error and EVM requirements for PC6 CA are the same as the CA requirements for other power classes.</w:t>
      </w:r>
      <w:bookmarkEnd w:id="5"/>
    </w:p>
    <w:p w14:paraId="36CA8036" w14:textId="77777777" w:rsidR="00965070" w:rsidRDefault="00965070" w:rsidP="0054031B">
      <w:pPr>
        <w:rPr>
          <w:lang w:val="en-GB" w:eastAsia="ja-JP"/>
        </w:rPr>
      </w:pPr>
    </w:p>
    <w:p w14:paraId="4BF87574" w14:textId="7B99B535" w:rsidR="005E7C92" w:rsidRDefault="005E7C92" w:rsidP="0054031B">
      <w:pPr>
        <w:rPr>
          <w:lang w:val="en-GB" w:eastAsia="ja-JP"/>
        </w:rPr>
      </w:pPr>
      <w:r>
        <w:rPr>
          <w:lang w:val="en-GB" w:eastAsia="ja-JP"/>
        </w:rPr>
        <w:t xml:space="preserve">The carrier leakage and </w:t>
      </w:r>
      <w:r w:rsidR="009A520E">
        <w:rPr>
          <w:lang w:val="en-GB" w:eastAsia="ja-JP"/>
        </w:rPr>
        <w:t xml:space="preserve">in-band emissions requirements for single carrier PC6 are defined to be the same as for PC5. For CA, it is proposed to adopt the same </w:t>
      </w:r>
      <w:proofErr w:type="gramStart"/>
      <w:r w:rsidR="009A520E">
        <w:rPr>
          <w:lang w:val="en-GB" w:eastAsia="ja-JP"/>
        </w:rPr>
        <w:t>approach;</w:t>
      </w:r>
      <w:proofErr w:type="gramEnd"/>
      <w:r w:rsidR="009A520E">
        <w:rPr>
          <w:lang w:val="en-GB" w:eastAsia="ja-JP"/>
        </w:rPr>
        <w:t xml:space="preserve"> i.e. the requirements are the same as for PC5.</w:t>
      </w:r>
    </w:p>
    <w:p w14:paraId="52C9995B" w14:textId="4FCEB7AE" w:rsidR="00477B14" w:rsidRDefault="00965070" w:rsidP="00965070">
      <w:pPr>
        <w:pStyle w:val="Proposal"/>
        <w:rPr>
          <w:lang w:val="en-GB"/>
        </w:rPr>
      </w:pPr>
      <w:bookmarkStart w:id="6" w:name="_Toc113713812"/>
      <w:r>
        <w:rPr>
          <w:lang w:val="en-GB"/>
        </w:rPr>
        <w:t>The carrier leakage and in-band emissions requirements for PC6 intra-band CA are the same as those for PC5 intra-band CA.</w:t>
      </w:r>
      <w:bookmarkEnd w:id="6"/>
    </w:p>
    <w:p w14:paraId="2BF7427A" w14:textId="77777777" w:rsidR="00965070" w:rsidRDefault="00965070" w:rsidP="0054031B">
      <w:pPr>
        <w:rPr>
          <w:lang w:val="en-GB" w:eastAsia="ja-JP"/>
        </w:rPr>
      </w:pPr>
    </w:p>
    <w:p w14:paraId="5F187A5D" w14:textId="3599D811" w:rsidR="00477B14" w:rsidRDefault="00477B14" w:rsidP="0054031B">
      <w:pPr>
        <w:rPr>
          <w:u w:val="single"/>
          <w:lang w:val="en-GB" w:eastAsia="ja-JP"/>
        </w:rPr>
      </w:pPr>
      <w:r>
        <w:rPr>
          <w:u w:val="single"/>
          <w:lang w:val="en-GB" w:eastAsia="ja-JP"/>
        </w:rPr>
        <w:t>Output RF spectral emissions</w:t>
      </w:r>
    </w:p>
    <w:p w14:paraId="6A02D2C6" w14:textId="737F537C" w:rsidR="00477B14" w:rsidRDefault="002C3B38" w:rsidP="0054031B">
      <w:pPr>
        <w:rPr>
          <w:lang w:val="en-GB" w:eastAsia="ja-JP"/>
        </w:rPr>
      </w:pPr>
      <w:r>
        <w:rPr>
          <w:lang w:val="en-GB" w:eastAsia="ja-JP"/>
        </w:rPr>
        <w:t xml:space="preserve">The </w:t>
      </w:r>
      <w:r w:rsidR="006B15C0">
        <w:rPr>
          <w:lang w:val="en-GB" w:eastAsia="ja-JP"/>
        </w:rPr>
        <w:t>emissions</w:t>
      </w:r>
      <w:r>
        <w:rPr>
          <w:lang w:val="en-GB" w:eastAsia="ja-JP"/>
        </w:rPr>
        <w:t xml:space="preserve"> requirement</w:t>
      </w:r>
      <w:r w:rsidR="006B15C0">
        <w:rPr>
          <w:lang w:val="en-GB" w:eastAsia="ja-JP"/>
        </w:rPr>
        <w:t>s</w:t>
      </w:r>
      <w:r>
        <w:rPr>
          <w:lang w:val="en-GB" w:eastAsia="ja-JP"/>
        </w:rPr>
        <w:t xml:space="preserve"> for CA </w:t>
      </w:r>
      <w:r w:rsidR="006B15C0">
        <w:rPr>
          <w:lang w:val="en-GB" w:eastAsia="ja-JP"/>
        </w:rPr>
        <w:t>are</w:t>
      </w:r>
      <w:r>
        <w:rPr>
          <w:lang w:val="en-GB" w:eastAsia="ja-JP"/>
        </w:rPr>
        <w:t xml:space="preserve"> not differentiated between the power classes. It is proposed that the same approach is adopted for </w:t>
      </w:r>
      <w:proofErr w:type="gramStart"/>
      <w:r>
        <w:rPr>
          <w:lang w:val="en-GB" w:eastAsia="ja-JP"/>
        </w:rPr>
        <w:t>PC6;</w:t>
      </w:r>
      <w:proofErr w:type="gramEnd"/>
      <w:r>
        <w:rPr>
          <w:lang w:val="en-GB" w:eastAsia="ja-JP"/>
        </w:rPr>
        <w:t xml:space="preserve"> i.e. no differentiation between the power classes.</w:t>
      </w:r>
    </w:p>
    <w:p w14:paraId="486962CE" w14:textId="49CC3B4A" w:rsidR="00965070" w:rsidRDefault="00965070" w:rsidP="00965070">
      <w:pPr>
        <w:pStyle w:val="Proposal"/>
        <w:rPr>
          <w:lang w:val="en-GB"/>
        </w:rPr>
      </w:pPr>
      <w:bookmarkStart w:id="7" w:name="_Toc113713813"/>
      <w:r>
        <w:rPr>
          <w:lang w:val="en-GB"/>
        </w:rPr>
        <w:t>The output RF spectral emissions requirements for PC6 CA are the same as the CA requirements for other power classes.</w:t>
      </w:r>
      <w:bookmarkEnd w:id="7"/>
    </w:p>
    <w:p w14:paraId="76B2B56D" w14:textId="40E720B1" w:rsidR="00885B1E" w:rsidRDefault="00885B1E" w:rsidP="0054031B">
      <w:pPr>
        <w:rPr>
          <w:lang w:val="en-GB" w:eastAsia="ja-JP"/>
        </w:rPr>
      </w:pPr>
    </w:p>
    <w:p w14:paraId="7DDDF725" w14:textId="401E8400" w:rsidR="00885B1E" w:rsidRDefault="00885B1E" w:rsidP="0054031B">
      <w:pPr>
        <w:rPr>
          <w:u w:val="single"/>
          <w:lang w:val="en-GB" w:eastAsia="ja-JP"/>
        </w:rPr>
      </w:pPr>
      <w:r>
        <w:rPr>
          <w:u w:val="single"/>
          <w:lang w:val="en-GB" w:eastAsia="ja-JP"/>
        </w:rPr>
        <w:t>Beam correspondence</w:t>
      </w:r>
    </w:p>
    <w:p w14:paraId="4F0FF0B2" w14:textId="3B0B6604" w:rsidR="00885B1E" w:rsidRDefault="00885B1E" w:rsidP="0054031B">
      <w:pPr>
        <w:rPr>
          <w:lang w:val="en-GB" w:eastAsia="ja-JP"/>
        </w:rPr>
      </w:pPr>
      <w:r>
        <w:rPr>
          <w:lang w:val="en-GB" w:eastAsia="ja-JP"/>
        </w:rPr>
        <w:t>No special differentiation for CA is proposed for PC6</w:t>
      </w:r>
      <w:r w:rsidR="00C6258F">
        <w:rPr>
          <w:lang w:val="en-GB" w:eastAsia="ja-JP"/>
        </w:rPr>
        <w:t>.</w:t>
      </w:r>
    </w:p>
    <w:p w14:paraId="3F558304" w14:textId="5F1B09EB" w:rsidR="00965070" w:rsidRDefault="00965070" w:rsidP="00965070">
      <w:pPr>
        <w:pStyle w:val="Proposal"/>
        <w:rPr>
          <w:lang w:val="en-GB"/>
        </w:rPr>
      </w:pPr>
      <w:bookmarkStart w:id="8" w:name="_Toc113713814"/>
      <w:r>
        <w:rPr>
          <w:lang w:val="en-GB"/>
        </w:rPr>
        <w:t>No differentiation for CA for beam correspondence</w:t>
      </w:r>
      <w:bookmarkEnd w:id="8"/>
    </w:p>
    <w:p w14:paraId="4ECA69FC" w14:textId="4650BB7E" w:rsidR="00C6258F" w:rsidRDefault="00C6258F" w:rsidP="0054031B">
      <w:pPr>
        <w:rPr>
          <w:lang w:val="en-GB" w:eastAsia="ja-JP"/>
        </w:rPr>
      </w:pPr>
    </w:p>
    <w:p w14:paraId="2235AD89" w14:textId="6278E285" w:rsidR="00C6258F" w:rsidRDefault="00C74C8D" w:rsidP="0054031B">
      <w:pPr>
        <w:rPr>
          <w:u w:val="single"/>
          <w:lang w:val="en-GB" w:eastAsia="ja-JP"/>
        </w:rPr>
      </w:pPr>
      <w:r>
        <w:rPr>
          <w:u w:val="single"/>
          <w:lang w:val="en-GB" w:eastAsia="ja-JP"/>
        </w:rPr>
        <w:t>Reference sensitivity</w:t>
      </w:r>
    </w:p>
    <w:p w14:paraId="7785A090" w14:textId="436B9867" w:rsidR="00965070" w:rsidRDefault="006F2D13" w:rsidP="0054031B">
      <w:pPr>
        <w:rPr>
          <w:lang w:val="en-GB" w:eastAsia="ja-JP"/>
        </w:rPr>
      </w:pPr>
      <w:r>
        <w:rPr>
          <w:lang w:val="en-GB" w:eastAsia="ja-JP"/>
        </w:rPr>
        <w:t xml:space="preserve">The relaxations to reference sensitivity applicable for CA do not differentiate between power classes. It is proposed that the same approach is applied for PC6 intra-band </w:t>
      </w:r>
      <w:proofErr w:type="gramStart"/>
      <w:r>
        <w:rPr>
          <w:lang w:val="en-GB" w:eastAsia="ja-JP"/>
        </w:rPr>
        <w:t>CA;</w:t>
      </w:r>
      <w:proofErr w:type="gramEnd"/>
      <w:r>
        <w:rPr>
          <w:lang w:val="en-GB" w:eastAsia="ja-JP"/>
        </w:rPr>
        <w:t xml:space="preserve"> same as other power classes.</w:t>
      </w:r>
    </w:p>
    <w:p w14:paraId="4759050B" w14:textId="3D2356D4" w:rsidR="006F2D13" w:rsidRDefault="006F2D13" w:rsidP="0054031B">
      <w:pPr>
        <w:rPr>
          <w:lang w:val="en-GB" w:eastAsia="ja-JP"/>
        </w:rPr>
      </w:pPr>
    </w:p>
    <w:p w14:paraId="0FC6E912" w14:textId="167C15C4" w:rsidR="006F2D13" w:rsidRDefault="00047F37" w:rsidP="0054031B">
      <w:pPr>
        <w:rPr>
          <w:u w:val="single"/>
          <w:lang w:val="en-GB" w:eastAsia="ja-JP"/>
        </w:rPr>
      </w:pPr>
      <w:r>
        <w:rPr>
          <w:u w:val="single"/>
          <w:lang w:val="en-GB" w:eastAsia="ja-JP"/>
        </w:rPr>
        <w:t>Maximum input level</w:t>
      </w:r>
    </w:p>
    <w:p w14:paraId="13D30DC1" w14:textId="30848A4E" w:rsidR="00BC6255" w:rsidRDefault="00BC6255" w:rsidP="00BC6255">
      <w:pPr>
        <w:rPr>
          <w:lang w:val="en-GB" w:eastAsia="ja-JP"/>
        </w:rPr>
      </w:pPr>
      <w:r>
        <w:rPr>
          <w:lang w:val="en-GB" w:eastAsia="ja-JP"/>
        </w:rPr>
        <w:t xml:space="preserve">The maximum input level applicable for intra-band CA is the same for all power classes. It is proposed that the same approach is applied for PC6 intra-band </w:t>
      </w:r>
      <w:proofErr w:type="gramStart"/>
      <w:r>
        <w:rPr>
          <w:lang w:val="en-GB" w:eastAsia="ja-JP"/>
        </w:rPr>
        <w:t>CA;</w:t>
      </w:r>
      <w:proofErr w:type="gramEnd"/>
      <w:r>
        <w:rPr>
          <w:lang w:val="en-GB" w:eastAsia="ja-JP"/>
        </w:rPr>
        <w:t xml:space="preserve"> same as other power classes.</w:t>
      </w:r>
    </w:p>
    <w:p w14:paraId="315BAE36" w14:textId="1B84F10B" w:rsidR="00047F37" w:rsidRDefault="00047F37" w:rsidP="0054031B">
      <w:pPr>
        <w:rPr>
          <w:u w:val="single"/>
          <w:lang w:val="en-GB" w:eastAsia="ja-JP"/>
        </w:rPr>
      </w:pPr>
    </w:p>
    <w:p w14:paraId="561FFF6C" w14:textId="252C5476" w:rsidR="001D6283" w:rsidRPr="00047F37" w:rsidRDefault="001D6283" w:rsidP="0054031B">
      <w:pPr>
        <w:rPr>
          <w:u w:val="single"/>
          <w:lang w:val="en-GB" w:eastAsia="ja-JP"/>
        </w:rPr>
      </w:pPr>
      <w:r>
        <w:rPr>
          <w:u w:val="single"/>
          <w:lang w:val="en-GB" w:eastAsia="ja-JP"/>
        </w:rPr>
        <w:t>Blocking and sensitivity</w:t>
      </w:r>
    </w:p>
    <w:p w14:paraId="12A3348B" w14:textId="25F5D530" w:rsidR="001D6283" w:rsidRDefault="001D6283" w:rsidP="001D6283">
      <w:pPr>
        <w:rPr>
          <w:lang w:val="en-GB" w:eastAsia="ja-JP"/>
        </w:rPr>
      </w:pPr>
      <w:r>
        <w:rPr>
          <w:lang w:val="en-GB" w:eastAsia="ja-JP"/>
        </w:rPr>
        <w:t xml:space="preserve">The blocking and selectivity requirements applicable for intra-band CA is the same for all power classes. It is proposed that the same approach is applied for PC6 intra-band </w:t>
      </w:r>
      <w:proofErr w:type="gramStart"/>
      <w:r>
        <w:rPr>
          <w:lang w:val="en-GB" w:eastAsia="ja-JP"/>
        </w:rPr>
        <w:t>CA;</w:t>
      </w:r>
      <w:proofErr w:type="gramEnd"/>
      <w:r>
        <w:rPr>
          <w:lang w:val="en-GB" w:eastAsia="ja-JP"/>
        </w:rPr>
        <w:t xml:space="preserve"> same as other power classes.</w:t>
      </w:r>
    </w:p>
    <w:p w14:paraId="3A9F45C4" w14:textId="75C5DDEA" w:rsidR="002C3B38" w:rsidRDefault="002C3B38" w:rsidP="0054031B">
      <w:pPr>
        <w:rPr>
          <w:lang w:val="en-GB" w:eastAsia="ja-JP"/>
        </w:rPr>
      </w:pPr>
    </w:p>
    <w:p w14:paraId="0A5020ED" w14:textId="448ADF40" w:rsidR="001D6283" w:rsidRPr="00047F37" w:rsidRDefault="001D6283" w:rsidP="001D6283">
      <w:pPr>
        <w:rPr>
          <w:u w:val="single"/>
          <w:lang w:val="en-GB" w:eastAsia="ja-JP"/>
        </w:rPr>
      </w:pPr>
      <w:r>
        <w:rPr>
          <w:u w:val="single"/>
          <w:lang w:val="en-GB" w:eastAsia="ja-JP"/>
        </w:rPr>
        <w:t>RX spurious emissions</w:t>
      </w:r>
    </w:p>
    <w:p w14:paraId="3F0BE117" w14:textId="6D058937" w:rsidR="001D6283" w:rsidRDefault="001D6283" w:rsidP="001D6283">
      <w:pPr>
        <w:rPr>
          <w:lang w:val="en-GB" w:eastAsia="ja-JP"/>
        </w:rPr>
      </w:pPr>
      <w:r>
        <w:rPr>
          <w:lang w:val="en-GB" w:eastAsia="ja-JP"/>
        </w:rPr>
        <w:t xml:space="preserve">The RX spurious emissions applicable for intra-band CA is the same for all power classes. It is proposed that the same approach is applied for PC6 intra-band </w:t>
      </w:r>
      <w:proofErr w:type="gramStart"/>
      <w:r>
        <w:rPr>
          <w:lang w:val="en-GB" w:eastAsia="ja-JP"/>
        </w:rPr>
        <w:t>CA;</w:t>
      </w:r>
      <w:proofErr w:type="gramEnd"/>
      <w:r>
        <w:rPr>
          <w:lang w:val="en-GB" w:eastAsia="ja-JP"/>
        </w:rPr>
        <w:t xml:space="preserve"> same as other power classes.</w:t>
      </w:r>
    </w:p>
    <w:p w14:paraId="5DB1F346" w14:textId="64D37F52" w:rsidR="006B40FA" w:rsidRPr="006B40FA" w:rsidRDefault="006B40FA" w:rsidP="006B40FA">
      <w:pPr>
        <w:pStyle w:val="Proposal"/>
        <w:rPr>
          <w:lang w:val="en-GB"/>
        </w:rPr>
      </w:pPr>
      <w:bookmarkStart w:id="9" w:name="_Toc113713815"/>
      <w:r>
        <w:rPr>
          <w:lang w:val="en-GB"/>
        </w:rPr>
        <w:t>All RX requirements for PC6 CA are the same as the CA requirements for other power classes.</w:t>
      </w:r>
      <w:bookmarkEnd w:id="9"/>
    </w:p>
    <w:p w14:paraId="28B721F0" w14:textId="77777777" w:rsidR="006B40FA" w:rsidRDefault="006B40FA" w:rsidP="006B40FA">
      <w:pPr>
        <w:pStyle w:val="Proposal"/>
        <w:numPr>
          <w:ilvl w:val="0"/>
          <w:numId w:val="0"/>
        </w:numPr>
        <w:ind w:left="1701" w:hanging="1701"/>
      </w:pPr>
    </w:p>
    <w:p w14:paraId="37EB5693" w14:textId="4D77E7BD" w:rsidR="00C01F33" w:rsidRPr="00CE0424" w:rsidRDefault="006B40FA" w:rsidP="00CE0424">
      <w:pPr>
        <w:pStyle w:val="Heading1"/>
      </w:pPr>
      <w:r>
        <w:t>C</w:t>
      </w:r>
      <w:r w:rsidR="00C01F33" w:rsidRPr="00CE0424">
        <w:t>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C8B2A76" w14:textId="60566D95" w:rsidR="006B40FA"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3713807" w:history="1">
        <w:r w:rsidR="006B40FA" w:rsidRPr="00211B1E">
          <w:rPr>
            <w:rStyle w:val="Hyperlink"/>
            <w:noProof/>
            <w:lang w:val="en-GB"/>
          </w:rPr>
          <w:t>Proposal 1</w:t>
        </w:r>
        <w:r w:rsidR="006B40FA">
          <w:rPr>
            <w:rFonts w:asciiTheme="minorHAnsi" w:eastAsiaTheme="minorEastAsia" w:hAnsiTheme="minorHAnsi"/>
            <w:b w:val="0"/>
            <w:noProof/>
            <w:sz w:val="22"/>
            <w:lang w:val="en-SE" w:eastAsia="en-SE"/>
          </w:rPr>
          <w:tab/>
        </w:r>
        <w:r w:rsidR="006B40FA" w:rsidRPr="00211B1E">
          <w:rPr>
            <w:rStyle w:val="Hyperlink"/>
            <w:noProof/>
            <w:lang w:val="en-GB"/>
          </w:rPr>
          <w:t>The output power requirement for PC6 for intra-band CA is the same as for single carrier.</w:t>
        </w:r>
      </w:hyperlink>
    </w:p>
    <w:p w14:paraId="51E8AEFB" w14:textId="77772D2E" w:rsidR="006B40FA" w:rsidRDefault="00911014">
      <w:pPr>
        <w:pStyle w:val="TableofFigures"/>
        <w:tabs>
          <w:tab w:val="right" w:leader="dot" w:pos="9629"/>
        </w:tabs>
        <w:rPr>
          <w:rFonts w:asciiTheme="minorHAnsi" w:eastAsiaTheme="minorEastAsia" w:hAnsiTheme="minorHAnsi"/>
          <w:b w:val="0"/>
          <w:noProof/>
          <w:sz w:val="22"/>
          <w:lang w:val="en-SE" w:eastAsia="en-SE"/>
        </w:rPr>
      </w:pPr>
      <w:hyperlink w:anchor="_Toc113713808" w:history="1">
        <w:r w:rsidR="006B40FA" w:rsidRPr="00211B1E">
          <w:rPr>
            <w:rStyle w:val="Hyperlink"/>
            <w:noProof/>
            <w:lang w:val="en-GB"/>
          </w:rPr>
          <w:t>Proposal 2</w:t>
        </w:r>
        <w:r w:rsidR="006B40FA">
          <w:rPr>
            <w:rFonts w:asciiTheme="minorHAnsi" w:eastAsiaTheme="minorEastAsia" w:hAnsiTheme="minorHAnsi"/>
            <w:b w:val="0"/>
            <w:noProof/>
            <w:sz w:val="22"/>
            <w:lang w:val="en-SE" w:eastAsia="en-SE"/>
          </w:rPr>
          <w:tab/>
        </w:r>
        <w:r w:rsidR="006B40FA" w:rsidRPr="00211B1E">
          <w:rPr>
            <w:rStyle w:val="Hyperlink"/>
            <w:noProof/>
            <w:lang w:val="en-GB"/>
          </w:rPr>
          <w:t>MPR and A-MPR requirements for PC6 for CA are the same as those for PC3</w:t>
        </w:r>
      </w:hyperlink>
    </w:p>
    <w:p w14:paraId="668DC346" w14:textId="427CFB33" w:rsidR="006B40FA" w:rsidRDefault="00911014">
      <w:pPr>
        <w:pStyle w:val="TableofFigures"/>
        <w:tabs>
          <w:tab w:val="right" w:leader="dot" w:pos="9629"/>
        </w:tabs>
        <w:rPr>
          <w:rFonts w:asciiTheme="minorHAnsi" w:eastAsiaTheme="minorEastAsia" w:hAnsiTheme="minorHAnsi"/>
          <w:b w:val="0"/>
          <w:noProof/>
          <w:sz w:val="22"/>
          <w:lang w:val="en-SE" w:eastAsia="en-SE"/>
        </w:rPr>
      </w:pPr>
      <w:hyperlink w:anchor="_Toc113713809" w:history="1">
        <w:r w:rsidR="006B40FA" w:rsidRPr="00211B1E">
          <w:rPr>
            <w:rStyle w:val="Hyperlink"/>
            <w:noProof/>
            <w:lang w:val="en-GB"/>
          </w:rPr>
          <w:t>Proposal 3</w:t>
        </w:r>
        <w:r w:rsidR="006B40FA">
          <w:rPr>
            <w:rFonts w:asciiTheme="minorHAnsi" w:eastAsiaTheme="minorEastAsia" w:hAnsiTheme="minorHAnsi"/>
            <w:b w:val="0"/>
            <w:noProof/>
            <w:sz w:val="22"/>
            <w:lang w:val="en-SE" w:eastAsia="en-SE"/>
          </w:rPr>
          <w:tab/>
        </w:r>
        <w:r w:rsidR="006B40FA" w:rsidRPr="00211B1E">
          <w:rPr>
            <w:rStyle w:val="Hyperlink"/>
            <w:noProof/>
            <w:lang w:val="en-GB"/>
          </w:rPr>
          <w:t>The minimum output power requirement for PC6 is the same as for PC5 for intra-band CA.</w:t>
        </w:r>
      </w:hyperlink>
    </w:p>
    <w:p w14:paraId="67894A71" w14:textId="3D1AC504" w:rsidR="006B40FA" w:rsidRDefault="00911014">
      <w:pPr>
        <w:pStyle w:val="TableofFigures"/>
        <w:tabs>
          <w:tab w:val="right" w:leader="dot" w:pos="9629"/>
        </w:tabs>
        <w:rPr>
          <w:rFonts w:asciiTheme="minorHAnsi" w:eastAsiaTheme="minorEastAsia" w:hAnsiTheme="minorHAnsi"/>
          <w:b w:val="0"/>
          <w:noProof/>
          <w:sz w:val="22"/>
          <w:lang w:val="en-SE" w:eastAsia="en-SE"/>
        </w:rPr>
      </w:pPr>
      <w:hyperlink w:anchor="_Toc113713810" w:history="1">
        <w:r w:rsidR="006B40FA" w:rsidRPr="00211B1E">
          <w:rPr>
            <w:rStyle w:val="Hyperlink"/>
            <w:noProof/>
            <w:lang w:val="en-GB"/>
          </w:rPr>
          <w:t>Proposal 4</w:t>
        </w:r>
        <w:r w:rsidR="006B40FA">
          <w:rPr>
            <w:rFonts w:asciiTheme="minorHAnsi" w:eastAsiaTheme="minorEastAsia" w:hAnsiTheme="minorHAnsi"/>
            <w:b w:val="0"/>
            <w:noProof/>
            <w:sz w:val="22"/>
            <w:lang w:val="en-SE" w:eastAsia="en-SE"/>
          </w:rPr>
          <w:tab/>
        </w:r>
        <w:r w:rsidR="006B40FA" w:rsidRPr="00211B1E">
          <w:rPr>
            <w:rStyle w:val="Hyperlink"/>
            <w:noProof/>
            <w:lang w:val="en-GB"/>
          </w:rPr>
          <w:t>The TDD OFF, TDD switching and power control requirements for PC6 CA are the same as the CA requirements for other power classes.</w:t>
        </w:r>
      </w:hyperlink>
    </w:p>
    <w:p w14:paraId="18F9AE1D" w14:textId="25E46A08" w:rsidR="006B40FA" w:rsidRDefault="00911014">
      <w:pPr>
        <w:pStyle w:val="TableofFigures"/>
        <w:tabs>
          <w:tab w:val="right" w:leader="dot" w:pos="9629"/>
        </w:tabs>
        <w:rPr>
          <w:rFonts w:asciiTheme="minorHAnsi" w:eastAsiaTheme="minorEastAsia" w:hAnsiTheme="minorHAnsi"/>
          <w:b w:val="0"/>
          <w:noProof/>
          <w:sz w:val="22"/>
          <w:lang w:val="en-SE" w:eastAsia="en-SE"/>
        </w:rPr>
      </w:pPr>
      <w:hyperlink w:anchor="_Toc113713811" w:history="1">
        <w:r w:rsidR="006B40FA" w:rsidRPr="00211B1E">
          <w:rPr>
            <w:rStyle w:val="Hyperlink"/>
            <w:noProof/>
            <w:lang w:val="en-GB"/>
          </w:rPr>
          <w:t>Proposal 5</w:t>
        </w:r>
        <w:r w:rsidR="006B40FA">
          <w:rPr>
            <w:rFonts w:asciiTheme="minorHAnsi" w:eastAsiaTheme="minorEastAsia" w:hAnsiTheme="minorHAnsi"/>
            <w:b w:val="0"/>
            <w:noProof/>
            <w:sz w:val="22"/>
            <w:lang w:val="en-SE" w:eastAsia="en-SE"/>
          </w:rPr>
          <w:tab/>
        </w:r>
        <w:r w:rsidR="006B40FA" w:rsidRPr="00211B1E">
          <w:rPr>
            <w:rStyle w:val="Hyperlink"/>
            <w:noProof/>
            <w:lang w:val="en-GB"/>
          </w:rPr>
          <w:t>The frequency error and EVM requirements for PC6 CA are the same as the CA requirements for other power classes.</w:t>
        </w:r>
      </w:hyperlink>
    </w:p>
    <w:p w14:paraId="3D9958F0" w14:textId="7D0CADE9" w:rsidR="006B40FA" w:rsidRDefault="00911014">
      <w:pPr>
        <w:pStyle w:val="TableofFigures"/>
        <w:tabs>
          <w:tab w:val="right" w:leader="dot" w:pos="9629"/>
        </w:tabs>
        <w:rPr>
          <w:rFonts w:asciiTheme="minorHAnsi" w:eastAsiaTheme="minorEastAsia" w:hAnsiTheme="minorHAnsi"/>
          <w:b w:val="0"/>
          <w:noProof/>
          <w:sz w:val="22"/>
          <w:lang w:val="en-SE" w:eastAsia="en-SE"/>
        </w:rPr>
      </w:pPr>
      <w:hyperlink w:anchor="_Toc113713812" w:history="1">
        <w:r w:rsidR="006B40FA" w:rsidRPr="00211B1E">
          <w:rPr>
            <w:rStyle w:val="Hyperlink"/>
            <w:noProof/>
            <w:lang w:val="en-GB"/>
          </w:rPr>
          <w:t>Proposal 6</w:t>
        </w:r>
        <w:r w:rsidR="006B40FA">
          <w:rPr>
            <w:rFonts w:asciiTheme="minorHAnsi" w:eastAsiaTheme="minorEastAsia" w:hAnsiTheme="minorHAnsi"/>
            <w:b w:val="0"/>
            <w:noProof/>
            <w:sz w:val="22"/>
            <w:lang w:val="en-SE" w:eastAsia="en-SE"/>
          </w:rPr>
          <w:tab/>
        </w:r>
        <w:r w:rsidR="006B40FA" w:rsidRPr="00211B1E">
          <w:rPr>
            <w:rStyle w:val="Hyperlink"/>
            <w:noProof/>
            <w:lang w:val="en-GB"/>
          </w:rPr>
          <w:t>The carrier leakage and in-band emissions requirements for PC6 intra-band CA are the same as those for PC5 intra-band CA.</w:t>
        </w:r>
      </w:hyperlink>
    </w:p>
    <w:p w14:paraId="3EF5D730" w14:textId="3429A296" w:rsidR="006B40FA" w:rsidRDefault="00911014">
      <w:pPr>
        <w:pStyle w:val="TableofFigures"/>
        <w:tabs>
          <w:tab w:val="right" w:leader="dot" w:pos="9629"/>
        </w:tabs>
        <w:rPr>
          <w:rFonts w:asciiTheme="minorHAnsi" w:eastAsiaTheme="minorEastAsia" w:hAnsiTheme="minorHAnsi"/>
          <w:b w:val="0"/>
          <w:noProof/>
          <w:sz w:val="22"/>
          <w:lang w:val="en-SE" w:eastAsia="en-SE"/>
        </w:rPr>
      </w:pPr>
      <w:hyperlink w:anchor="_Toc113713813" w:history="1">
        <w:r w:rsidR="006B40FA" w:rsidRPr="00211B1E">
          <w:rPr>
            <w:rStyle w:val="Hyperlink"/>
            <w:noProof/>
            <w:lang w:val="en-GB"/>
          </w:rPr>
          <w:t>Proposal 7</w:t>
        </w:r>
        <w:r w:rsidR="006B40FA">
          <w:rPr>
            <w:rFonts w:asciiTheme="minorHAnsi" w:eastAsiaTheme="minorEastAsia" w:hAnsiTheme="minorHAnsi"/>
            <w:b w:val="0"/>
            <w:noProof/>
            <w:sz w:val="22"/>
            <w:lang w:val="en-SE" w:eastAsia="en-SE"/>
          </w:rPr>
          <w:tab/>
        </w:r>
        <w:r w:rsidR="006B40FA" w:rsidRPr="00211B1E">
          <w:rPr>
            <w:rStyle w:val="Hyperlink"/>
            <w:noProof/>
            <w:lang w:val="en-GB"/>
          </w:rPr>
          <w:t>The output RF spectral emissions requirements for PC6 CA are the same as the CA requirements for other power classes.</w:t>
        </w:r>
      </w:hyperlink>
    </w:p>
    <w:p w14:paraId="784D2AC5" w14:textId="41CE85CA" w:rsidR="006B40FA" w:rsidRDefault="00911014">
      <w:pPr>
        <w:pStyle w:val="TableofFigures"/>
        <w:tabs>
          <w:tab w:val="right" w:leader="dot" w:pos="9629"/>
        </w:tabs>
        <w:rPr>
          <w:rFonts w:asciiTheme="minorHAnsi" w:eastAsiaTheme="minorEastAsia" w:hAnsiTheme="minorHAnsi"/>
          <w:b w:val="0"/>
          <w:noProof/>
          <w:sz w:val="22"/>
          <w:lang w:val="en-SE" w:eastAsia="en-SE"/>
        </w:rPr>
      </w:pPr>
      <w:hyperlink w:anchor="_Toc113713814" w:history="1">
        <w:r w:rsidR="006B40FA" w:rsidRPr="00211B1E">
          <w:rPr>
            <w:rStyle w:val="Hyperlink"/>
            <w:noProof/>
            <w:lang w:val="en-GB"/>
          </w:rPr>
          <w:t>Proposal 8</w:t>
        </w:r>
        <w:r w:rsidR="006B40FA">
          <w:rPr>
            <w:rFonts w:asciiTheme="minorHAnsi" w:eastAsiaTheme="minorEastAsia" w:hAnsiTheme="minorHAnsi"/>
            <w:b w:val="0"/>
            <w:noProof/>
            <w:sz w:val="22"/>
            <w:lang w:val="en-SE" w:eastAsia="en-SE"/>
          </w:rPr>
          <w:tab/>
        </w:r>
        <w:r w:rsidR="006B40FA" w:rsidRPr="00211B1E">
          <w:rPr>
            <w:rStyle w:val="Hyperlink"/>
            <w:noProof/>
            <w:lang w:val="en-GB"/>
          </w:rPr>
          <w:t>No differentiation for CA for beam correspondence</w:t>
        </w:r>
      </w:hyperlink>
    </w:p>
    <w:p w14:paraId="436EBBB5" w14:textId="3C5E0726" w:rsidR="006B40FA" w:rsidRDefault="00911014">
      <w:pPr>
        <w:pStyle w:val="TableofFigures"/>
        <w:tabs>
          <w:tab w:val="right" w:leader="dot" w:pos="9629"/>
        </w:tabs>
        <w:rPr>
          <w:rFonts w:asciiTheme="minorHAnsi" w:eastAsiaTheme="minorEastAsia" w:hAnsiTheme="minorHAnsi"/>
          <w:b w:val="0"/>
          <w:noProof/>
          <w:sz w:val="22"/>
          <w:lang w:val="en-SE" w:eastAsia="en-SE"/>
        </w:rPr>
      </w:pPr>
      <w:hyperlink w:anchor="_Toc113713815" w:history="1">
        <w:r w:rsidR="006B40FA" w:rsidRPr="00211B1E">
          <w:rPr>
            <w:rStyle w:val="Hyperlink"/>
            <w:noProof/>
            <w:lang w:val="en-GB"/>
          </w:rPr>
          <w:t>Proposal 9</w:t>
        </w:r>
        <w:r w:rsidR="006B40FA">
          <w:rPr>
            <w:rFonts w:asciiTheme="minorHAnsi" w:eastAsiaTheme="minorEastAsia" w:hAnsiTheme="minorHAnsi"/>
            <w:b w:val="0"/>
            <w:noProof/>
            <w:sz w:val="22"/>
            <w:lang w:val="en-SE" w:eastAsia="en-SE"/>
          </w:rPr>
          <w:tab/>
        </w:r>
        <w:r w:rsidR="006B40FA" w:rsidRPr="00211B1E">
          <w:rPr>
            <w:rStyle w:val="Hyperlink"/>
            <w:noProof/>
            <w:lang w:val="en-GB"/>
          </w:rPr>
          <w:t>All RX requirements for PC6 CA are the same as the CA requirements for other power classes.</w:t>
        </w:r>
      </w:hyperlink>
    </w:p>
    <w:p w14:paraId="747C743C" w14:textId="0A23D737" w:rsidR="006E1C82" w:rsidRPr="00CE0424" w:rsidRDefault="006E1C82" w:rsidP="006E1C82">
      <w:pPr>
        <w:pStyle w:val="BodyText"/>
        <w:rPr>
          <w:b/>
          <w:bCs/>
        </w:rPr>
      </w:pPr>
      <w:r>
        <w:rPr>
          <w:b/>
          <w:bCs/>
        </w:rPr>
        <w:fldChar w:fldCharType="end"/>
      </w:r>
      <w:r w:rsidRPr="00CE0424">
        <w:rPr>
          <w:b/>
          <w:bCs/>
        </w:rPr>
        <w:t xml:space="preserve"> </w:t>
      </w:r>
    </w:p>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E631" w14:textId="77777777" w:rsidR="002A578E" w:rsidRDefault="002A578E">
      <w:r>
        <w:separator/>
      </w:r>
    </w:p>
  </w:endnote>
  <w:endnote w:type="continuationSeparator" w:id="0">
    <w:p w14:paraId="73BF6D2A" w14:textId="77777777" w:rsidR="002A578E" w:rsidRDefault="002A578E">
      <w:r>
        <w:continuationSeparator/>
      </w:r>
    </w:p>
  </w:endnote>
  <w:endnote w:type="continuationNotice" w:id="1">
    <w:p w14:paraId="06EEFF2E" w14:textId="77777777" w:rsidR="002A578E" w:rsidRDefault="002A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EC41" w14:textId="77777777" w:rsidR="002A578E" w:rsidRDefault="002A578E">
      <w:r>
        <w:separator/>
      </w:r>
    </w:p>
  </w:footnote>
  <w:footnote w:type="continuationSeparator" w:id="0">
    <w:p w14:paraId="429794DD" w14:textId="77777777" w:rsidR="002A578E" w:rsidRDefault="002A578E">
      <w:r>
        <w:continuationSeparator/>
      </w:r>
    </w:p>
  </w:footnote>
  <w:footnote w:type="continuationNotice" w:id="1">
    <w:p w14:paraId="0DDB9D19" w14:textId="77777777" w:rsidR="002A578E" w:rsidRDefault="002A57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CF1"/>
    <w:rsid w:val="00015D15"/>
    <w:rsid w:val="0002564D"/>
    <w:rsid w:val="00025ECA"/>
    <w:rsid w:val="000325B8"/>
    <w:rsid w:val="00034C15"/>
    <w:rsid w:val="00036BA1"/>
    <w:rsid w:val="000422E2"/>
    <w:rsid w:val="00042F22"/>
    <w:rsid w:val="000444EF"/>
    <w:rsid w:val="00047F37"/>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7147"/>
    <w:rsid w:val="00190AC1"/>
    <w:rsid w:val="0019341A"/>
    <w:rsid w:val="00197DF9"/>
    <w:rsid w:val="001A1987"/>
    <w:rsid w:val="001A2564"/>
    <w:rsid w:val="001A6173"/>
    <w:rsid w:val="001A6CBA"/>
    <w:rsid w:val="001B0D97"/>
    <w:rsid w:val="001B5A5D"/>
    <w:rsid w:val="001C1CE5"/>
    <w:rsid w:val="001C3D2A"/>
    <w:rsid w:val="001D51BA"/>
    <w:rsid w:val="001D53E7"/>
    <w:rsid w:val="001D6283"/>
    <w:rsid w:val="001D6342"/>
    <w:rsid w:val="001D6D53"/>
    <w:rsid w:val="001E50E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3B38"/>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6D92"/>
    <w:rsid w:val="0034178B"/>
    <w:rsid w:val="00342BD7"/>
    <w:rsid w:val="00346DB5"/>
    <w:rsid w:val="003477B1"/>
    <w:rsid w:val="00350165"/>
    <w:rsid w:val="00357380"/>
    <w:rsid w:val="003602D9"/>
    <w:rsid w:val="003604CE"/>
    <w:rsid w:val="00370E47"/>
    <w:rsid w:val="003742AC"/>
    <w:rsid w:val="00377CE1"/>
    <w:rsid w:val="00385BF0"/>
    <w:rsid w:val="003939FF"/>
    <w:rsid w:val="003964C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77B14"/>
    <w:rsid w:val="00492BC5"/>
    <w:rsid w:val="004964F1"/>
    <w:rsid w:val="004A16BC"/>
    <w:rsid w:val="004A2B94"/>
    <w:rsid w:val="004A669E"/>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31B"/>
    <w:rsid w:val="00546970"/>
    <w:rsid w:val="00554E19"/>
    <w:rsid w:val="0056121F"/>
    <w:rsid w:val="00570B50"/>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7C92"/>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4CB"/>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5C0"/>
    <w:rsid w:val="006B1816"/>
    <w:rsid w:val="006B2099"/>
    <w:rsid w:val="006B40FA"/>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E86"/>
    <w:rsid w:val="006F1B70"/>
    <w:rsid w:val="006F2D13"/>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687B"/>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0B62"/>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B1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03A"/>
    <w:rsid w:val="008F0DD6"/>
    <w:rsid w:val="008F1C4E"/>
    <w:rsid w:val="008F1EAB"/>
    <w:rsid w:val="008F33DC"/>
    <w:rsid w:val="008F477F"/>
    <w:rsid w:val="00902350"/>
    <w:rsid w:val="0090336B"/>
    <w:rsid w:val="009053AA"/>
    <w:rsid w:val="00906939"/>
    <w:rsid w:val="00910B7D"/>
    <w:rsid w:val="00911014"/>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0EE5"/>
    <w:rsid w:val="00961921"/>
    <w:rsid w:val="0096430A"/>
    <w:rsid w:val="00965070"/>
    <w:rsid w:val="0096554B"/>
    <w:rsid w:val="0096584A"/>
    <w:rsid w:val="00971F08"/>
    <w:rsid w:val="009740F8"/>
    <w:rsid w:val="0097603D"/>
    <w:rsid w:val="00976949"/>
    <w:rsid w:val="00980477"/>
    <w:rsid w:val="00985253"/>
    <w:rsid w:val="009853B3"/>
    <w:rsid w:val="009904EE"/>
    <w:rsid w:val="00990630"/>
    <w:rsid w:val="00991761"/>
    <w:rsid w:val="00994DCA"/>
    <w:rsid w:val="009960EC"/>
    <w:rsid w:val="009970DD"/>
    <w:rsid w:val="009A0FBA"/>
    <w:rsid w:val="009A1601"/>
    <w:rsid w:val="009A3BB6"/>
    <w:rsid w:val="009A462D"/>
    <w:rsid w:val="009A520E"/>
    <w:rsid w:val="009A5CBA"/>
    <w:rsid w:val="009A602E"/>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3BE"/>
    <w:rsid w:val="00A2351A"/>
    <w:rsid w:val="00A264A9"/>
    <w:rsid w:val="00A26DCF"/>
    <w:rsid w:val="00A27785"/>
    <w:rsid w:val="00A30187"/>
    <w:rsid w:val="00A3448A"/>
    <w:rsid w:val="00A36297"/>
    <w:rsid w:val="00A41E2B"/>
    <w:rsid w:val="00A447CE"/>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983"/>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255"/>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258F"/>
    <w:rsid w:val="00C64672"/>
    <w:rsid w:val="00C70697"/>
    <w:rsid w:val="00C72093"/>
    <w:rsid w:val="00C72EF4"/>
    <w:rsid w:val="00C744FE"/>
    <w:rsid w:val="00C74C8D"/>
    <w:rsid w:val="00C75D2F"/>
    <w:rsid w:val="00C767BE"/>
    <w:rsid w:val="00C76E3C"/>
    <w:rsid w:val="00C81568"/>
    <w:rsid w:val="00C9027A"/>
    <w:rsid w:val="00C9068E"/>
    <w:rsid w:val="00C93814"/>
    <w:rsid w:val="00C93C4B"/>
    <w:rsid w:val="00C944AB"/>
    <w:rsid w:val="00C95B40"/>
    <w:rsid w:val="00CA1ED8"/>
    <w:rsid w:val="00CB1F63"/>
    <w:rsid w:val="00CB6866"/>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33A"/>
    <w:rsid w:val="00D13135"/>
    <w:rsid w:val="00D13E4E"/>
    <w:rsid w:val="00D239A7"/>
    <w:rsid w:val="00D23F47"/>
    <w:rsid w:val="00D36E71"/>
    <w:rsid w:val="00D37D87"/>
    <w:rsid w:val="00D40B33"/>
    <w:rsid w:val="00D4318F"/>
    <w:rsid w:val="00D438BF"/>
    <w:rsid w:val="00D440F8"/>
    <w:rsid w:val="00D4554E"/>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5F5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346E"/>
    <w:rsid w:val="00EF18FE"/>
    <w:rsid w:val="00EF5787"/>
    <w:rsid w:val="00EF60D0"/>
    <w:rsid w:val="00F0528D"/>
    <w:rsid w:val="00F06C67"/>
    <w:rsid w:val="00F06DFD"/>
    <w:rsid w:val="00F071D1"/>
    <w:rsid w:val="00F07533"/>
    <w:rsid w:val="00F10629"/>
    <w:rsid w:val="00F15FA5"/>
    <w:rsid w:val="00F209B7"/>
    <w:rsid w:val="00F2376F"/>
    <w:rsid w:val="00F243D8"/>
    <w:rsid w:val="00F24BC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9b239327-9e80-40e4-b1b7-4394fed77a33"/>
    <ds:schemaRef ds:uri="http://schemas.microsoft.com/office/2006/documentManagement/types"/>
    <ds:schemaRef ds:uri="http://purl.org/dc/terms/"/>
    <ds:schemaRef ds:uri="2f282d3b-eb4a-4b09-b61f-b9593442e286"/>
    <ds:schemaRef ds:uri="http://purl.org/dc/dcmitype/"/>
    <ds:schemaRef ds:uri="http://schemas.microsoft.com/sharepoint/v3"/>
    <ds:schemaRef ds:uri="http://www.w3.org/XML/1998/namespace"/>
    <ds:schemaRef ds:uri="http://purl.org/dc/elements/1.1/"/>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3</Pages>
  <Words>956</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49</cp:revision>
  <cp:lastPrinted>2008-01-31T16:09:00Z</cp:lastPrinted>
  <dcterms:created xsi:type="dcterms:W3CDTF">2020-08-14T06:21:00Z</dcterms:created>
  <dcterms:modified xsi:type="dcterms:W3CDTF">2022-09-30T14:40:00Z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